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p>
    <w:p w14:paraId="035AC024" w14:textId="68AE4F10" w:rsidR="00B57603" w:rsidRPr="00B57603" w:rsidRDefault="00CB6A02" w:rsidP="00CB6A02">
      <w:pPr>
        <w:jc w:val="center"/>
        <w:rPr>
          <w:rFonts w:ascii="Libre Franklin" w:hAnsi="Libre Franklin"/>
          <w:b/>
        </w:rPr>
      </w:pPr>
      <w:r w:rsidRPr="000C6782">
        <w:rPr>
          <w:rFonts w:ascii="Libre Franklin" w:hAnsi="Libre Franklin"/>
          <w:b/>
        </w:rPr>
        <w:t xml:space="preserve">DICHIARAZIONE REQUISITI </w:t>
      </w:r>
    </w:p>
    <w:p w14:paraId="1B74E889" w14:textId="47C838B9" w:rsidR="00C256D2" w:rsidRPr="00C256D2" w:rsidRDefault="00C256D2" w:rsidP="00C256D2">
      <w:pPr>
        <w:spacing w:after="0" w:line="240" w:lineRule="auto"/>
        <w:jc w:val="both"/>
        <w:rPr>
          <w:rFonts w:ascii="Libre Franklin" w:eastAsia="Times New Roman" w:hAnsi="Libre Franklin" w:cs="Times New Roman"/>
          <w:b/>
          <w:bCs/>
          <w:caps/>
          <w:sz w:val="24"/>
          <w:szCs w:val="24"/>
        </w:rPr>
      </w:pPr>
      <w:r w:rsidRPr="00C256D2">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organizzazione percorsi di formazione, tutoraggio e apprendimento dei partecipanti al laboratorio cultura e turismo sostenibile  di cui alla scheda di intervento B</w:t>
      </w:r>
      <w:r w:rsidR="00C46AF0">
        <w:rPr>
          <w:rFonts w:ascii="Libre Franklin" w:eastAsia="Times New Roman" w:hAnsi="Libre Franklin" w:cs="Times New Roman"/>
          <w:b/>
          <w:bCs/>
          <w:caps/>
          <w:sz w:val="24"/>
          <w:szCs w:val="24"/>
        </w:rPr>
        <w:t>.</w:t>
      </w:r>
      <w:r w:rsidRPr="00C256D2">
        <w:rPr>
          <w:rFonts w:ascii="Libre Franklin" w:eastAsia="Times New Roman" w:hAnsi="Libre Franklin" w:cs="Times New Roman"/>
          <w:b/>
          <w:bCs/>
          <w:caps/>
          <w:sz w:val="24"/>
          <w:szCs w:val="24"/>
        </w:rPr>
        <w:t>4</w:t>
      </w:r>
      <w:r w:rsidR="00C46AF0">
        <w:rPr>
          <w:rFonts w:ascii="Libre Franklin" w:eastAsia="Times New Roman" w:hAnsi="Libre Franklin" w:cs="Times New Roman"/>
          <w:b/>
          <w:bCs/>
          <w:caps/>
          <w:sz w:val="24"/>
          <w:szCs w:val="24"/>
        </w:rPr>
        <w:t>.</w:t>
      </w:r>
      <w:r w:rsidRPr="00C256D2">
        <w:rPr>
          <w:rFonts w:ascii="Libre Franklin" w:eastAsia="Times New Roman" w:hAnsi="Libre Franklin" w:cs="Times New Roman"/>
          <w:b/>
          <w:bCs/>
          <w:caps/>
          <w:sz w:val="24"/>
          <w:szCs w:val="24"/>
        </w:rPr>
        <w:t>1</w:t>
      </w:r>
      <w:r w:rsidR="00C46AF0">
        <w:rPr>
          <w:rFonts w:ascii="Libre Franklin" w:eastAsia="Times New Roman" w:hAnsi="Libre Franklin" w:cs="Times New Roman"/>
          <w:b/>
          <w:bCs/>
          <w:caps/>
          <w:sz w:val="24"/>
          <w:szCs w:val="24"/>
        </w:rPr>
        <w:t>.</w:t>
      </w:r>
      <w:r w:rsidRPr="00C256D2">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6F099FA4" w14:textId="77777777" w:rsidR="00C256D2" w:rsidRPr="00C256D2" w:rsidRDefault="00C256D2" w:rsidP="00C256D2">
      <w:pPr>
        <w:spacing w:after="0" w:line="240" w:lineRule="auto"/>
        <w:jc w:val="both"/>
        <w:rPr>
          <w:rFonts w:ascii="Libre Franklin" w:eastAsia="Times New Roman" w:hAnsi="Libre Franklin" w:cs="Times New Roman"/>
          <w:b/>
          <w:bCs/>
          <w:caps/>
          <w:sz w:val="24"/>
          <w:szCs w:val="24"/>
        </w:rPr>
      </w:pPr>
      <w:r w:rsidRPr="00C256D2">
        <w:rPr>
          <w:rFonts w:ascii="Libre Franklin" w:eastAsia="Times New Roman" w:hAnsi="Libre Franklin" w:cs="Times New Roman"/>
          <w:b/>
          <w:bCs/>
          <w:caps/>
          <w:sz w:val="24"/>
          <w:szCs w:val="24"/>
        </w:rPr>
        <w:t>CUP: I64D21000240007</w:t>
      </w:r>
    </w:p>
    <w:p w14:paraId="04F10BB0" w14:textId="5F3E488B" w:rsidR="00B57603" w:rsidRPr="00B57603" w:rsidRDefault="00C256D2" w:rsidP="00C256D2">
      <w:pPr>
        <w:spacing w:after="0" w:line="240" w:lineRule="auto"/>
        <w:jc w:val="both"/>
        <w:rPr>
          <w:rFonts w:ascii="Libre Franklin" w:eastAsia="Times New Roman" w:hAnsi="Libre Franklin" w:cs="Times New Roman"/>
          <w:sz w:val="20"/>
          <w:szCs w:val="20"/>
        </w:rPr>
      </w:pPr>
      <w:r w:rsidRPr="00C256D2">
        <w:rPr>
          <w:rFonts w:ascii="Libre Franklin" w:eastAsia="Times New Roman" w:hAnsi="Libre Franklin" w:cs="Times New Roman"/>
          <w:b/>
          <w:bCs/>
          <w:caps/>
          <w:sz w:val="24"/>
          <w:szCs w:val="24"/>
        </w:rPr>
        <w:t>CVP Mepa: 80500000-9</w:t>
      </w:r>
    </w:p>
    <w:p w14:paraId="2E5A0886" w14:textId="77777777" w:rsidR="00B57603" w:rsidRPr="00B57603" w:rsidRDefault="00B57603" w:rsidP="00B57603">
      <w:pPr>
        <w:tabs>
          <w:tab w:val="left" w:pos="8080"/>
        </w:tabs>
        <w:spacing w:after="0" w:line="240" w:lineRule="auto"/>
        <w:ind w:left="6379"/>
        <w:jc w:val="right"/>
        <w:rPr>
          <w:rFonts w:ascii="Libre Franklin" w:eastAsia="Times New Roman" w:hAnsi="Libre Franklin" w:cs="Times New Roman"/>
          <w:sz w:val="24"/>
          <w:szCs w:val="24"/>
        </w:rPr>
      </w:pPr>
      <w:r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I soggetti di cui all’art. 96, comma 3, del D.Lgs.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dblbgIAANs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8Lt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8AuOY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Cv58Lt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TZQU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0BzOo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5TZQU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YEqaX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D.Lgs.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iscrizione nel registro delle imprese presso la Camera di Commercio, Industria Artigianato e Agricoltura per categorie di attività che comprendano quelle di cui </w:t>
      </w:r>
      <w:r w:rsidRPr="00CB6A02">
        <w:rPr>
          <w:rFonts w:ascii="Libre Franklin" w:eastAsia="Times New Roman" w:hAnsi="Libre Franklin" w:cs="Times New Roman"/>
          <w:sz w:val="24"/>
          <w:szCs w:val="24"/>
        </w:rPr>
        <w:lastRenderedPageBreak/>
        <w:t>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lastRenderedPageBreak/>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consapevole che, qualora fosse accertata la non veridicità del contenuto della presente dichiarazione, questa Impresa verrà esclusa dalla presente procedura o, se risultata affidataria,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C58E" w14:textId="77777777" w:rsidR="00E6765C" w:rsidRDefault="00E6765C">
      <w:pPr>
        <w:spacing w:after="0" w:line="240" w:lineRule="auto"/>
      </w:pPr>
      <w:r>
        <w:separator/>
      </w:r>
    </w:p>
  </w:endnote>
  <w:endnote w:type="continuationSeparator" w:id="0">
    <w:p w14:paraId="1EB0EB15" w14:textId="77777777" w:rsidR="00E6765C" w:rsidRDefault="00E6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31EB" w14:textId="77777777" w:rsidR="00015B44" w:rsidRDefault="00015B4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SOC.CONS.ArL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28AA" w14:textId="77777777" w:rsidR="00015B44" w:rsidRDefault="00015B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676F" w14:textId="77777777" w:rsidR="00E6765C" w:rsidRDefault="00E6765C">
      <w:pPr>
        <w:spacing w:after="0" w:line="240" w:lineRule="auto"/>
      </w:pPr>
      <w:r>
        <w:separator/>
      </w:r>
    </w:p>
  </w:footnote>
  <w:footnote w:type="continuationSeparator" w:id="0">
    <w:p w14:paraId="61B6D760" w14:textId="77777777" w:rsidR="00E6765C" w:rsidRDefault="00E6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C2B2" w14:textId="77777777" w:rsidR="00015B44" w:rsidRDefault="00015B4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329B413B"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0127E761" w14:textId="4C165439" w:rsidR="00015B44" w:rsidRDefault="00015B44">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0FA9DA17" wp14:editId="2C49A9E6">
          <wp:extent cx="5410200" cy="406400"/>
          <wp:effectExtent l="0" t="0" r="0" b="0"/>
          <wp:docPr id="5876684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68448" name="Immagine 587668448"/>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734C250F"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7446" w14:textId="77777777" w:rsidR="00015B44" w:rsidRDefault="00015B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15B44"/>
    <w:rsid w:val="0003094C"/>
    <w:rsid w:val="000D43CB"/>
    <w:rsid w:val="000E0319"/>
    <w:rsid w:val="00127DB8"/>
    <w:rsid w:val="00162104"/>
    <w:rsid w:val="001E4936"/>
    <w:rsid w:val="001F1158"/>
    <w:rsid w:val="001F4313"/>
    <w:rsid w:val="00214EFE"/>
    <w:rsid w:val="0021739F"/>
    <w:rsid w:val="002438AC"/>
    <w:rsid w:val="002573B2"/>
    <w:rsid w:val="002C02DF"/>
    <w:rsid w:val="0037268E"/>
    <w:rsid w:val="003B0676"/>
    <w:rsid w:val="00470313"/>
    <w:rsid w:val="004814DA"/>
    <w:rsid w:val="004C0A67"/>
    <w:rsid w:val="0050469D"/>
    <w:rsid w:val="00522303"/>
    <w:rsid w:val="00543A17"/>
    <w:rsid w:val="00582A5E"/>
    <w:rsid w:val="005B4030"/>
    <w:rsid w:val="005C6227"/>
    <w:rsid w:val="0062023F"/>
    <w:rsid w:val="00631650"/>
    <w:rsid w:val="00684BBE"/>
    <w:rsid w:val="00690AC1"/>
    <w:rsid w:val="006E717D"/>
    <w:rsid w:val="0072111D"/>
    <w:rsid w:val="007640E0"/>
    <w:rsid w:val="007820D3"/>
    <w:rsid w:val="007B17C7"/>
    <w:rsid w:val="007D047D"/>
    <w:rsid w:val="007D111B"/>
    <w:rsid w:val="008079EA"/>
    <w:rsid w:val="00823206"/>
    <w:rsid w:val="00857E3F"/>
    <w:rsid w:val="008E02FD"/>
    <w:rsid w:val="0092542A"/>
    <w:rsid w:val="0094301D"/>
    <w:rsid w:val="0096112C"/>
    <w:rsid w:val="009615D3"/>
    <w:rsid w:val="00993395"/>
    <w:rsid w:val="009B3484"/>
    <w:rsid w:val="009C7594"/>
    <w:rsid w:val="009D5D68"/>
    <w:rsid w:val="00A71AC9"/>
    <w:rsid w:val="00A80CEA"/>
    <w:rsid w:val="00AB4429"/>
    <w:rsid w:val="00AD21D1"/>
    <w:rsid w:val="00AF0F3E"/>
    <w:rsid w:val="00B16877"/>
    <w:rsid w:val="00B30303"/>
    <w:rsid w:val="00B333C2"/>
    <w:rsid w:val="00B42AB7"/>
    <w:rsid w:val="00B43B39"/>
    <w:rsid w:val="00B544D2"/>
    <w:rsid w:val="00B57603"/>
    <w:rsid w:val="00C256D2"/>
    <w:rsid w:val="00C46AF0"/>
    <w:rsid w:val="00C92490"/>
    <w:rsid w:val="00CB6A02"/>
    <w:rsid w:val="00CF2952"/>
    <w:rsid w:val="00CF3455"/>
    <w:rsid w:val="00CF6C74"/>
    <w:rsid w:val="00D24ABC"/>
    <w:rsid w:val="00DA5765"/>
    <w:rsid w:val="00E6765C"/>
    <w:rsid w:val="00E80780"/>
    <w:rsid w:val="00F15639"/>
    <w:rsid w:val="00F42C49"/>
    <w:rsid w:val="00F515FD"/>
    <w:rsid w:val="00FB0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1159</Words>
  <Characters>6612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6</cp:revision>
  <cp:lastPrinted>2025-10-10T06:22:00Z</cp:lastPrinted>
  <dcterms:created xsi:type="dcterms:W3CDTF">2025-10-10T09:27:00Z</dcterms:created>
  <dcterms:modified xsi:type="dcterms:W3CDTF">2025-11-03T17:14:00Z</dcterms:modified>
</cp:coreProperties>
</file>